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D3F" w:rsidRPr="00772DCE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>
        <w:rPr>
          <w:b/>
        </w:rPr>
        <w:t xml:space="preserve">2.1 </w:t>
      </w:r>
      <w:r w:rsidRPr="00772DCE">
        <w:rPr>
          <w:b/>
        </w:rPr>
        <w:t>Задача 1</w:t>
      </w:r>
    </w:p>
    <w:p w:rsidR="00721D3F" w:rsidRDefault="00721D3F" w:rsidP="00721D3F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721D3F" w:rsidRDefault="00721D3F" w:rsidP="00721D3F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Определить общее число трансформаторов подстанций в цехе, снабжаемом по первой категории надежности электроснабжения. Планируется установка сухих трансформаторов типа ТСЗ. 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Расчетные мощности цеха, с учетом компенсации на 0,4 кВ, составляют: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</w:t>
      </w:r>
      <w:r>
        <w:rPr>
          <w:vertAlign w:val="subscript"/>
        </w:rPr>
        <w:t>Р</w:t>
      </w:r>
      <w:r>
        <w:t xml:space="preserve">=1820 кВт, </w:t>
      </w:r>
      <w:r>
        <w:rPr>
          <w:lang w:val="en-US"/>
        </w:rPr>
        <w:t>Q</w:t>
      </w:r>
      <w:r>
        <w:rPr>
          <w:vertAlign w:val="subscript"/>
          <w:lang w:val="en-US"/>
        </w:rPr>
        <w:t>P</w:t>
      </w:r>
      <w:r>
        <w:t xml:space="preserve">=370 </w:t>
      </w:r>
      <w:proofErr w:type="spellStart"/>
      <w:r>
        <w:t>кВАр</w:t>
      </w:r>
      <w:proofErr w:type="spellEnd"/>
      <w:r>
        <w:t>.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Решение задачи 2.1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С учетом первой категории на каждой подстанции должно быть два трансформатора. Коэффициент загрузки в аварийном режиме не должен превышать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З</w:t>
      </w:r>
      <w:r>
        <w:t xml:space="preserve">=1,1. В соответствии с рекомендациями по выбору мощности трансформаторов принимается мощность </w:t>
      </w:r>
      <w:r>
        <w:rPr>
          <w:lang w:val="en-US"/>
        </w:rPr>
        <w:t>S</w:t>
      </w:r>
      <w:r>
        <w:rPr>
          <w:vertAlign w:val="subscript"/>
        </w:rPr>
        <w:t>Н</w:t>
      </w:r>
      <w:proofErr w:type="gramStart"/>
      <w:r>
        <w:rPr>
          <w:vertAlign w:val="subscript"/>
        </w:rPr>
        <w:t>.Т</w:t>
      </w:r>
      <w:proofErr w:type="gramEnd"/>
      <w:r>
        <w:t xml:space="preserve">=630 </w:t>
      </w:r>
      <w:proofErr w:type="spellStart"/>
      <w:r>
        <w:t>кВА</w:t>
      </w:r>
      <w:proofErr w:type="spellEnd"/>
      <w:r>
        <w:t>.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Минимальное число трансформаторов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721D3F" w:rsidRDefault="00721D3F" w:rsidP="00721D3F">
      <w:pPr>
        <w:widowControl w:val="0"/>
        <w:tabs>
          <w:tab w:val="left" w:pos="8460"/>
        </w:tabs>
        <w:kinsoku w:val="0"/>
        <w:overflowPunct w:val="0"/>
        <w:spacing w:after="0" w:line="240" w:lineRule="auto"/>
        <w:ind w:firstLine="709"/>
        <w:jc w:val="right"/>
      </w:pPr>
      <w:r w:rsidRPr="00095D36">
        <w:rPr>
          <w:position w:val="-40"/>
          <w:lang w:eastAsia="en-US"/>
        </w:rPr>
        <w:object w:dxaOrig="276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.55pt;height:46.2pt" o:ole="">
            <v:imagedata r:id="rId4" o:title=""/>
          </v:shape>
          <o:OLEObject Type="Embed" ProgID="Equation.3" ShapeID="_x0000_i1025" DrawAspect="Content" ObjectID="_1535549235" r:id="rId5"/>
        </w:object>
      </w:r>
      <w:r>
        <w:t xml:space="preserve">                                             (2.1)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где </w:t>
      </w:r>
      <w:r>
        <w:sym w:font="Symbol" w:char="0062"/>
      </w:r>
      <w:r>
        <w:t>=0,55 предварительный коэффициент загрузки трансформаторов,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sym w:font="Symbol" w:char="0044"/>
      </w:r>
      <w:r>
        <w:rPr>
          <w:lang w:val="en-US"/>
        </w:rPr>
        <w:t>N</w:t>
      </w:r>
      <w:r>
        <w:t xml:space="preserve"> - </w:t>
      </w:r>
      <w:proofErr w:type="gramStart"/>
      <w:r>
        <w:t>добавка</w:t>
      </w:r>
      <w:proofErr w:type="gramEnd"/>
      <w:r>
        <w:t xml:space="preserve"> до целого числа</w:t>
      </w:r>
    </w:p>
    <w:p w:rsidR="00721D3F" w:rsidRDefault="00721D3F" w:rsidP="00721D3F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721D3F" w:rsidRDefault="00721D3F" w:rsidP="00721D3F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  <w:r w:rsidRPr="00095D36">
        <w:rPr>
          <w:position w:val="-32"/>
          <w:lang w:eastAsia="en-US"/>
        </w:rPr>
        <w:object w:dxaOrig="4200" w:dyaOrig="760">
          <v:shape id="_x0000_i1026" type="#_x0000_t75" style="width:210.55pt;height:36pt" o:ole="">
            <v:imagedata r:id="rId6" o:title=""/>
          </v:shape>
          <o:OLEObject Type="Embed" ProgID="Equation.3" ShapeID="_x0000_i1026" DrawAspect="Content" ObjectID="_1535549236" r:id="rId7"/>
        </w:object>
      </w:r>
      <w:r>
        <w:t>.</w:t>
      </w:r>
    </w:p>
    <w:p w:rsidR="00721D3F" w:rsidRDefault="00721D3F" w:rsidP="00721D3F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721D3F" w:rsidRDefault="00721D3F" w:rsidP="00721D3F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  <w:r>
        <w:t>Оптимальное число трансформаторов</w:t>
      </w:r>
    </w:p>
    <w:p w:rsidR="00721D3F" w:rsidRDefault="00721D3F" w:rsidP="00721D3F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</w:pPr>
    </w:p>
    <w:p w:rsidR="00721D3F" w:rsidRDefault="00721D3F" w:rsidP="00721D3F">
      <w:pPr>
        <w:widowControl w:val="0"/>
        <w:tabs>
          <w:tab w:val="left" w:pos="8460"/>
        </w:tabs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eastAsiaTheme="minorHAnsi"/>
        </w:rPr>
      </w:pPr>
      <w:r w:rsidRPr="00095D36">
        <w:rPr>
          <w:position w:val="-18"/>
          <w:lang w:eastAsia="en-US"/>
        </w:rPr>
        <w:object w:dxaOrig="2520" w:dyaOrig="440">
          <v:shape id="_x0000_i1027" type="#_x0000_t75" style="width:128.4pt;height:20.4pt" o:ole="">
            <v:imagedata r:id="rId8" o:title=""/>
          </v:shape>
          <o:OLEObject Type="Embed" ProgID="Equation.3" ShapeID="_x0000_i1027" DrawAspect="Content" ObjectID="_1535549237" r:id="rId9"/>
        </w:object>
      </w:r>
      <w:r>
        <w:t xml:space="preserve">                                          (2.2)</w:t>
      </w:r>
    </w:p>
    <w:p w:rsidR="00721D3F" w:rsidRDefault="00721D3F" w:rsidP="00721D3F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721D3F" w:rsidRDefault="00721D3F" w:rsidP="00721D3F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eastAsiaTheme="minorHAnsi"/>
        </w:rPr>
      </w:pPr>
      <w:r>
        <w:t xml:space="preserve">где </w:t>
      </w:r>
      <w:r>
        <w:rPr>
          <w:i/>
          <w:lang w:val="en-US"/>
        </w:rPr>
        <w:t>m</w:t>
      </w:r>
      <w:r>
        <w:t xml:space="preserve"> - дополнительное число трансформаторов, определяется по графику рисунка 2.1а) и зависит от минимального числа </w:t>
      </w:r>
      <w:r w:rsidRPr="00095D36">
        <w:rPr>
          <w:position w:val="-18"/>
          <w:lang w:eastAsia="en-US"/>
        </w:rPr>
        <w:object w:dxaOrig="1639" w:dyaOrig="440">
          <v:shape id="_x0000_i1028" type="#_x0000_t75" style="width:82.2pt;height:20.4pt" o:ole="">
            <v:imagedata r:id="rId10" o:title=""/>
          </v:shape>
          <o:OLEObject Type="Embed" ProgID="Equation.3" ShapeID="_x0000_i1028" DrawAspect="Content" ObjectID="_1535549238" r:id="rId11"/>
        </w:object>
      </w:r>
      <w:r>
        <w:t xml:space="preserve">. Значение равно </w:t>
      </w:r>
      <w:r>
        <w:rPr>
          <w:i/>
          <w:lang w:val="en-US"/>
        </w:rPr>
        <w:t>m</w:t>
      </w:r>
      <w:r>
        <w:t>=0. Принимаемое к установке число трансформаторов равно</w:t>
      </w:r>
    </w:p>
    <w:p w:rsidR="00721D3F" w:rsidRDefault="00721D3F" w:rsidP="00721D3F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095D36">
        <w:rPr>
          <w:position w:val="-18"/>
          <w:lang w:eastAsia="en-US"/>
        </w:rPr>
        <w:object w:dxaOrig="2120" w:dyaOrig="440">
          <v:shape id="_x0000_i1029" type="#_x0000_t75" style="width:108pt;height:20.4pt" o:ole="">
            <v:imagedata r:id="rId12" o:title=""/>
          </v:shape>
          <o:OLEObject Type="Embed" ProgID="Equation.3" ShapeID="_x0000_i1029" DrawAspect="Content" ObjectID="_1535549239" r:id="rId13"/>
        </w:object>
      </w:r>
      <w:r>
        <w:t>.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Необходимо проверить среднюю загрузку выбранных трансформаторов в нормальном и аварийном режимах. В нормальном режиме коэффициент загрузки вычисляется по (2.3)</w:t>
      </w:r>
    </w:p>
    <w:p w:rsidR="00721D3F" w:rsidRDefault="00721D3F" w:rsidP="00721D3F">
      <w:pPr>
        <w:widowControl w:val="0"/>
        <w:tabs>
          <w:tab w:val="left" w:pos="8460"/>
        </w:tabs>
        <w:kinsoku w:val="0"/>
        <w:overflowPunct w:val="0"/>
        <w:spacing w:after="0" w:line="240" w:lineRule="auto"/>
        <w:ind w:firstLine="709"/>
        <w:jc w:val="right"/>
      </w:pPr>
      <w:r w:rsidRPr="00095D36">
        <w:rPr>
          <w:position w:val="-40"/>
          <w:lang w:eastAsia="en-US"/>
        </w:rPr>
        <w:object w:dxaOrig="2200" w:dyaOrig="880">
          <v:shape id="_x0000_i1030" type="#_x0000_t75" style="width:108pt;height:46.2pt" o:ole="">
            <v:imagedata r:id="rId14" o:title=""/>
          </v:shape>
          <o:OLEObject Type="Embed" ProgID="Equation.3" ShapeID="_x0000_i1030" DrawAspect="Content" ObjectID="_1535549240" r:id="rId15"/>
        </w:object>
      </w:r>
      <w:r>
        <w:t>,                                            (2.3)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21D3F" w:rsidRDefault="00721D3F" w:rsidP="00721D3F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>
        <w:rPr>
          <w:noProof/>
        </w:rPr>
        <w:object w:dxaOrig="14704" w:dyaOrig="9669">
          <v:shape id="_x0000_i1031" type="#_x0000_t75" style="width:468pt;height:333.5pt" o:ole="">
            <v:imagedata r:id="rId16" o:title="" cropright="4905f"/>
          </v:shape>
          <o:OLEObject Type="Embed" ProgID="Visio.Drawing.11" ShapeID="_x0000_i1031" DrawAspect="Content" ObjectID="_1535549241" r:id="rId17"/>
        </w:object>
      </w:r>
    </w:p>
    <w:p w:rsidR="00721D3F" w:rsidRDefault="00721D3F" w:rsidP="00721D3F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16"/>
        </w:rPr>
      </w:pPr>
      <w:r>
        <w:t xml:space="preserve">Рисунок 2.1 – Зона для определения дополнительного числа трансформаторов, а) </w:t>
      </w:r>
      <w:r>
        <w:sym w:font="Symbol" w:char="0062"/>
      </w:r>
      <w:r>
        <w:rPr>
          <w:vertAlign w:val="subscript"/>
        </w:rPr>
        <w:t>Т</w:t>
      </w:r>
      <w:r>
        <w:t>=0,7</w:t>
      </w:r>
      <w:r>
        <w:sym w:font="Symbol" w:char="00B8"/>
      </w:r>
      <w:r>
        <w:t xml:space="preserve">0,8   б) </w:t>
      </w:r>
      <w:r>
        <w:sym w:font="Symbol" w:char="0062"/>
      </w:r>
      <w:r>
        <w:rPr>
          <w:vertAlign w:val="subscript"/>
        </w:rPr>
        <w:t>Т</w:t>
      </w:r>
      <w:r>
        <w:t>=0,9</w:t>
      </w:r>
      <w:r>
        <w:sym w:font="Symbol" w:char="00B8"/>
      </w:r>
      <w:r>
        <w:t>1,0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где </w:t>
      </w:r>
      <w:r>
        <w:rPr>
          <w:lang w:val="en-US"/>
        </w:rPr>
        <w:t>S</w:t>
      </w:r>
      <w:r>
        <w:rPr>
          <w:vertAlign w:val="subscript"/>
          <w:lang w:val="en-US"/>
        </w:rPr>
        <w:t>P</w:t>
      </w:r>
      <w:r>
        <w:t xml:space="preserve">=1857,23 </w:t>
      </w:r>
      <w:proofErr w:type="spellStart"/>
      <w:r>
        <w:t>кВА</w:t>
      </w:r>
      <w:proofErr w:type="spellEnd"/>
      <w:r>
        <w:t xml:space="preserve"> - полная расчетная мощность, рассчитывается по (1.10),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095D36">
        <w:rPr>
          <w:position w:val="-24"/>
          <w:lang w:eastAsia="en-US"/>
        </w:rPr>
        <w:object w:dxaOrig="5400" w:dyaOrig="620">
          <v:shape id="_x0000_i1032" type="#_x0000_t75" style="width:272.4pt;height:30.55pt" o:ole="">
            <v:imagedata r:id="rId18" o:title=""/>
          </v:shape>
          <o:OLEObject Type="Embed" ProgID="Equation.3" ShapeID="_x0000_i1032" DrawAspect="Content" ObjectID="_1535549242" r:id="rId19"/>
        </w:object>
      </w:r>
      <w:r>
        <w:t>.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Коэффициент загрузки в нормальном режиме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095D36">
        <w:rPr>
          <w:position w:val="-28"/>
          <w:lang w:eastAsia="en-US"/>
        </w:rPr>
        <w:object w:dxaOrig="2360" w:dyaOrig="720">
          <v:shape id="_x0000_i1033" type="#_x0000_t75" style="width:118.2pt;height:36pt" o:ole="">
            <v:imagedata r:id="rId20" o:title=""/>
          </v:shape>
          <o:OLEObject Type="Embed" ProgID="Equation.3" ShapeID="_x0000_i1033" DrawAspect="Content" ObjectID="_1535549243" r:id="rId21"/>
        </w:object>
      </w:r>
      <w:r>
        <w:t>.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В аварийном режиме, при отключении одного из двух трансформаторов ТП, коэффициент загрузки составит </w:t>
      </w:r>
      <w:proofErr w:type="gramStart"/>
      <w:r>
        <w:rPr>
          <w:lang w:val="en-US"/>
        </w:rPr>
        <w:t>K</w:t>
      </w:r>
      <w:proofErr w:type="gramEnd"/>
      <w:r>
        <w:rPr>
          <w:vertAlign w:val="subscript"/>
        </w:rPr>
        <w:t>З</w:t>
      </w:r>
      <w:r>
        <w:t>=0,92.</w:t>
      </w:r>
    </w:p>
    <w:p w:rsidR="00721D3F" w:rsidRDefault="00721D3F" w:rsidP="00721D3F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07DB" w:rsidRDefault="00721D3F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21D3F"/>
    <w:rsid w:val="003B2504"/>
    <w:rsid w:val="00721D3F"/>
    <w:rsid w:val="00C85CA5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D3F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721D3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721D3F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2016-09-16T10:34:00Z</dcterms:created>
  <dcterms:modified xsi:type="dcterms:W3CDTF">2016-09-16T10:34:00Z</dcterms:modified>
</cp:coreProperties>
</file>